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GDR 5-Slide Talk Track</w:t>
      </w:r>
    </w:p>
    <w:p>
      <w:pPr>
        <w:pStyle w:val="Heading1"/>
      </w:pPr>
      <w:r>
        <w:t>Slide 1 — The Idea</w:t>
      </w:r>
    </w:p>
    <w:p>
      <w:r>
        <w:t>What we do is very simple — we help brands understand where behaviours happen, instead of tracking who people are.</w:t>
        <w:br/>
        <w:br/>
        <w:t>Because when you understand where behaviour happens, you don’t need IDs, cookies, or personal data.</w:t>
        <w:br/>
        <w:br/>
        <w:t>That’s the foundation of everything we do.</w:t>
      </w:r>
    </w:p>
    <w:p>
      <w:pPr>
        <w:pStyle w:val="Heading1"/>
      </w:pPr>
      <w:r>
        <w:t>Slide 2 — Scale</w:t>
      </w:r>
    </w:p>
    <w:p>
      <w:r>
        <w:t>We’ve taken that approach and scaled it across 37 markets — Europe, the Americas, and Asia.</w:t>
        <w:br/>
        <w:br/>
        <w:t>The key is consistency — it’s one framework, not different solutions per market.</w:t>
        <w:br/>
        <w:br/>
        <w:t>So you can plan once, and activate globally, without changing your approach.</w:t>
        <w:br/>
        <w:br/>
        <w:t>One approach. Global activation.</w:t>
      </w:r>
    </w:p>
    <w:p>
      <w:pPr>
        <w:pStyle w:val="Heading1"/>
      </w:pPr>
      <w:r>
        <w:t>Slide 3 — Partners</w:t>
      </w:r>
    </w:p>
    <w:p>
      <w:r>
        <w:t>We’re already integrated with and working alongside platforms like The Trade Desk, Adform, and Azerion.</w:t>
        <w:br/>
        <w:br/>
        <w:t>So this isn’t theoretical — it’s already being used in real campaigns.</w:t>
      </w:r>
    </w:p>
    <w:p>
      <w:pPr>
        <w:pStyle w:val="Heading1"/>
      </w:pPr>
      <w:r>
        <w:t>Slide 4 — Capability</w:t>
      </w:r>
    </w:p>
    <w:p>
      <w:r>
        <w:t>What this enables is something quite powerful — you can activate the same audience across every channel.</w:t>
        <w:br/>
        <w:br/>
        <w:t>CTV, DOOH, social, display — all from the same underlying audience logic.</w:t>
        <w:br/>
        <w:br/>
        <w:t>No cookies, no IDs, no fragmentation.</w:t>
        <w:br/>
        <w:br/>
        <w:t>Same audience. Every channel. No IDs.</w:t>
      </w:r>
    </w:p>
    <w:p>
      <w:pPr>
        <w:pStyle w:val="Heading1"/>
      </w:pPr>
      <w:r>
        <w:t>Slide 5 — Application</w:t>
      </w:r>
    </w:p>
    <w:p>
      <w:r>
        <w:t>This is how it works in practice.</w:t>
        <w:br/>
        <w:br/>
        <w:t>You define your ideal audience — and we translate that into geographic hotspots.</w:t>
        <w:br/>
        <w:br/>
        <w:t>So instead of guessing, you know exactly where to focus — and where not to spend.</w:t>
        <w:br/>
        <w:br/>
        <w:t>Plan smarter. Spend where it matters.</w:t>
      </w:r>
    </w:p>
    <w:p>
      <w:pPr>
        <w:pStyle w:val="Heading1"/>
      </w:pPr>
      <w:r>
        <w:t>Slide 6 — Close</w:t>
      </w:r>
    </w:p>
    <w:p>
      <w:r>
        <w:t>The key thing is — this is fast to get up and running.</w:t>
        <w:br/>
        <w:br/>
        <w:t>No complex setup, no dependency on IDs — you can go from idea to activation very quickly.</w:t>
        <w:br/>
        <w:br/>
        <w:t>If it’s relevant, we’d love to look at one of your upcoming campaigns or markets and show how this works in practice.</w:t>
        <w:br/>
        <w:br/>
        <w:t>Happy to follow up or dive deeper.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